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34" w:type="dxa"/>
        <w:tblInd w:w="-851" w:type="dxa"/>
        <w:tblCellMar>
          <w:left w:w="0" w:type="dxa"/>
          <w:right w:w="0" w:type="dxa"/>
        </w:tblCellMar>
        <w:tblLook w:val="04A0" w:firstRow="1" w:lastRow="0" w:firstColumn="1" w:lastColumn="0" w:noHBand="0" w:noVBand="1"/>
      </w:tblPr>
      <w:tblGrid>
        <w:gridCol w:w="2978"/>
        <w:gridCol w:w="10056"/>
      </w:tblGrid>
      <w:tr w:rsidR="001F0FBC" w:rsidRPr="001F0FBC" w:rsidTr="001F0FBC">
        <w:trPr>
          <w:trHeight w:val="930"/>
        </w:trPr>
        <w:tc>
          <w:tcPr>
            <w:tcW w:w="2978" w:type="dxa"/>
            <w:tcMar>
              <w:top w:w="0" w:type="dxa"/>
              <w:left w:w="108" w:type="dxa"/>
              <w:bottom w:w="0" w:type="dxa"/>
              <w:right w:w="108" w:type="dxa"/>
            </w:tcMar>
            <w:hideMark/>
          </w:tcPr>
          <w:p w:rsidR="001F0FBC" w:rsidRPr="001F0FBC" w:rsidRDefault="001F0FBC" w:rsidP="001F0FBC">
            <w:pPr>
              <w:spacing w:after="0" w:line="330" w:lineRule="atLeast"/>
              <w:jc w:val="center"/>
              <w:rPr>
                <w:rFonts w:eastAsia="Times New Roman" w:cs="Times New Roman"/>
                <w:color w:val="222222"/>
                <w:sz w:val="28"/>
                <w:szCs w:val="28"/>
              </w:rPr>
            </w:pPr>
            <w:r w:rsidRPr="001F0FBC">
              <w:rPr>
                <w:rFonts w:eastAsia="Times New Roman" w:cs="Times New Roman"/>
                <w:b/>
                <w:bCs/>
                <w:color w:val="222222"/>
                <w:sz w:val="28"/>
                <w:szCs w:val="28"/>
              </w:rPr>
              <w:t>QUỐC HỘI</w:t>
            </w:r>
            <w:r w:rsidRPr="001F0FBC">
              <w:rPr>
                <w:rFonts w:eastAsia="Times New Roman" w:cs="Times New Roman"/>
                <w:b/>
                <w:bCs/>
                <w:color w:val="222222"/>
                <w:sz w:val="28"/>
                <w:szCs w:val="28"/>
              </w:rPr>
              <w:br/>
              <w:t>--------</w:t>
            </w:r>
          </w:p>
          <w:p w:rsidR="001F0FBC" w:rsidRPr="001F0FBC" w:rsidRDefault="001F0FBC" w:rsidP="001F0FBC">
            <w:pPr>
              <w:spacing w:after="0" w:line="330" w:lineRule="atLeast"/>
              <w:jc w:val="center"/>
              <w:rPr>
                <w:rFonts w:eastAsia="Times New Roman" w:cs="Times New Roman"/>
                <w:color w:val="222222"/>
                <w:sz w:val="28"/>
                <w:szCs w:val="28"/>
              </w:rPr>
            </w:pPr>
            <w:r w:rsidRPr="001F0FBC">
              <w:rPr>
                <w:rFonts w:eastAsia="Times New Roman" w:cs="Times New Roman"/>
                <w:color w:val="222222"/>
                <w:sz w:val="28"/>
                <w:szCs w:val="28"/>
              </w:rPr>
              <w:t>Nghị quyết số: 60/2018/QH14</w:t>
            </w:r>
          </w:p>
        </w:tc>
        <w:tc>
          <w:tcPr>
            <w:tcW w:w="10056" w:type="dxa"/>
            <w:tcMar>
              <w:top w:w="0" w:type="dxa"/>
              <w:left w:w="108" w:type="dxa"/>
              <w:bottom w:w="0" w:type="dxa"/>
              <w:right w:w="108" w:type="dxa"/>
            </w:tcMar>
            <w:hideMark/>
          </w:tcPr>
          <w:p w:rsidR="001F0FBC" w:rsidRPr="001F0FBC" w:rsidRDefault="001F0FBC" w:rsidP="001F0FBC">
            <w:pPr>
              <w:spacing w:after="0" w:line="330" w:lineRule="atLeast"/>
              <w:jc w:val="center"/>
              <w:rPr>
                <w:rFonts w:eastAsia="Times New Roman" w:cs="Times New Roman"/>
                <w:color w:val="222222"/>
                <w:sz w:val="28"/>
                <w:szCs w:val="28"/>
              </w:rPr>
            </w:pPr>
            <w:r w:rsidRPr="001F0FBC">
              <w:rPr>
                <w:rFonts w:eastAsia="Times New Roman" w:cs="Times New Roman"/>
                <w:b/>
                <w:bCs/>
                <w:color w:val="222222"/>
                <w:sz w:val="28"/>
                <w:szCs w:val="28"/>
              </w:rPr>
              <w:t>CỘNG HÒA XÃ HỘI CHỦ NGHĨA VIỆT NAM</w:t>
            </w:r>
            <w:r w:rsidRPr="001F0FBC">
              <w:rPr>
                <w:rFonts w:eastAsia="Times New Roman" w:cs="Times New Roman"/>
                <w:b/>
                <w:bCs/>
                <w:color w:val="222222"/>
                <w:sz w:val="28"/>
                <w:szCs w:val="28"/>
              </w:rPr>
              <w:br/>
              <w:t>Độc lập - Tự do - Hạnh phúc</w:t>
            </w:r>
            <w:r w:rsidRPr="001F0FBC">
              <w:rPr>
                <w:rFonts w:eastAsia="Times New Roman" w:cs="Times New Roman"/>
                <w:b/>
                <w:bCs/>
                <w:color w:val="222222"/>
                <w:sz w:val="28"/>
                <w:szCs w:val="28"/>
              </w:rPr>
              <w:br/>
              <w:t>---------------</w:t>
            </w:r>
          </w:p>
          <w:p w:rsidR="001F0FBC" w:rsidRPr="001F0FBC" w:rsidRDefault="001F0FBC" w:rsidP="001F0FBC">
            <w:pPr>
              <w:spacing w:after="0" w:line="330" w:lineRule="atLeast"/>
              <w:jc w:val="center"/>
              <w:rPr>
                <w:rFonts w:eastAsia="Times New Roman" w:cs="Times New Roman"/>
                <w:color w:val="222222"/>
                <w:sz w:val="28"/>
                <w:szCs w:val="28"/>
              </w:rPr>
            </w:pPr>
            <w:r w:rsidRPr="001F0FBC">
              <w:rPr>
                <w:rFonts w:eastAsia="Times New Roman" w:cs="Times New Roman"/>
                <w:i/>
                <w:iCs/>
                <w:color w:val="222222"/>
                <w:sz w:val="28"/>
                <w:szCs w:val="28"/>
              </w:rPr>
              <w:t>Hà Nội, ngày 15 tháng 6 năm 2018</w:t>
            </w:r>
          </w:p>
        </w:tc>
      </w:tr>
    </w:tbl>
    <w:p w:rsidR="001F0FBC" w:rsidRPr="001F0FBC" w:rsidRDefault="001F0FBC" w:rsidP="001F0FBC">
      <w:pPr>
        <w:spacing w:after="100" w:afterAutospacing="1" w:line="240" w:lineRule="auto"/>
        <w:rPr>
          <w:rFonts w:eastAsia="Times New Roman" w:cs="Times New Roman"/>
          <w:sz w:val="28"/>
          <w:szCs w:val="28"/>
        </w:rPr>
      </w:pPr>
      <w:r w:rsidRPr="001F0FBC">
        <w:rPr>
          <w:rFonts w:eastAsia="Times New Roman" w:cs="Times New Roman"/>
          <w:sz w:val="28"/>
          <w:szCs w:val="28"/>
        </w:rPr>
        <w:t> </w:t>
      </w:r>
      <w:bookmarkStart w:id="0" w:name="_GoBack"/>
      <w:bookmarkEnd w:id="0"/>
    </w:p>
    <w:p w:rsidR="001F0FBC" w:rsidRPr="001F0FBC" w:rsidRDefault="001F0FBC" w:rsidP="001F0FBC">
      <w:pPr>
        <w:spacing w:after="100" w:afterAutospacing="1" w:line="240" w:lineRule="auto"/>
        <w:jc w:val="center"/>
        <w:rPr>
          <w:rFonts w:eastAsia="Times New Roman" w:cs="Times New Roman"/>
          <w:sz w:val="28"/>
          <w:szCs w:val="28"/>
        </w:rPr>
      </w:pPr>
      <w:r w:rsidRPr="001F0FBC">
        <w:rPr>
          <w:rFonts w:eastAsia="Times New Roman" w:cs="Times New Roman"/>
          <w:b/>
          <w:bCs/>
          <w:sz w:val="28"/>
          <w:szCs w:val="28"/>
        </w:rPr>
        <w:t>NGHỊ QUYẾT</w:t>
      </w:r>
    </w:p>
    <w:p w:rsidR="001F0FBC" w:rsidRPr="001F0FBC" w:rsidRDefault="001F0FBC" w:rsidP="001F0FBC">
      <w:pPr>
        <w:spacing w:after="100" w:afterAutospacing="1" w:line="240" w:lineRule="auto"/>
        <w:jc w:val="center"/>
        <w:rPr>
          <w:rFonts w:eastAsia="Times New Roman" w:cs="Times New Roman"/>
          <w:sz w:val="28"/>
          <w:szCs w:val="28"/>
        </w:rPr>
      </w:pPr>
      <w:r w:rsidRPr="001F0FBC">
        <w:rPr>
          <w:rFonts w:eastAsia="Times New Roman" w:cs="Times New Roman"/>
          <w:b/>
          <w:bCs/>
          <w:sz w:val="28"/>
          <w:szCs w:val="28"/>
        </w:rPr>
        <w:t>VỀ TIẾP TỤC HOÀN THIỆN VÀ ĐẨY MẠNH VIỆC THỰC HIỆN CHÍNH SÁCH, PHÁP LUẬT VỀ QUẢN LÝ, SỬ DỤNG VỐN, TÀI SẢN NHÀ NƯỚC TẠI DOANH NGHIỆP VÀ CỔ PHẦN HÓA DOANH NGHIỆP NHÀ NƯỚC</w:t>
      </w:r>
    </w:p>
    <w:p w:rsidR="001F0FBC" w:rsidRPr="001F0FBC" w:rsidRDefault="001F0FBC" w:rsidP="001F0FBC">
      <w:pPr>
        <w:spacing w:after="100" w:afterAutospacing="1" w:line="240" w:lineRule="auto"/>
        <w:jc w:val="center"/>
        <w:rPr>
          <w:rFonts w:eastAsia="Times New Roman" w:cs="Times New Roman"/>
          <w:sz w:val="28"/>
          <w:szCs w:val="28"/>
        </w:rPr>
      </w:pPr>
      <w:r w:rsidRPr="001F0FBC">
        <w:rPr>
          <w:rFonts w:eastAsia="Times New Roman" w:cs="Times New Roman"/>
          <w:b/>
          <w:bCs/>
          <w:sz w:val="28"/>
          <w:szCs w:val="28"/>
        </w:rPr>
        <w:t>------</w:t>
      </w:r>
    </w:p>
    <w:p w:rsidR="001F0FBC" w:rsidRPr="001F0FBC" w:rsidRDefault="001F0FBC" w:rsidP="001F0FBC">
      <w:pPr>
        <w:spacing w:after="100" w:afterAutospacing="1" w:line="240" w:lineRule="auto"/>
        <w:jc w:val="center"/>
        <w:rPr>
          <w:rFonts w:eastAsia="Times New Roman" w:cs="Times New Roman"/>
          <w:sz w:val="28"/>
          <w:szCs w:val="28"/>
        </w:rPr>
      </w:pPr>
      <w:r w:rsidRPr="001F0FBC">
        <w:rPr>
          <w:rFonts w:eastAsia="Times New Roman" w:cs="Times New Roman"/>
          <w:sz w:val="28"/>
          <w:szCs w:val="28"/>
        </w:rPr>
        <w:t>QUỐC HỘI</w:t>
      </w:r>
    </w:p>
    <w:p w:rsidR="001F0FBC" w:rsidRPr="001F0FBC" w:rsidRDefault="001F0FBC" w:rsidP="001F0FBC">
      <w:pPr>
        <w:spacing w:after="100" w:afterAutospacing="1" w:line="240" w:lineRule="auto"/>
        <w:jc w:val="center"/>
        <w:rPr>
          <w:rFonts w:eastAsia="Times New Roman" w:cs="Times New Roman"/>
          <w:sz w:val="28"/>
          <w:szCs w:val="28"/>
        </w:rPr>
      </w:pPr>
      <w:r w:rsidRPr="001F0FBC">
        <w:rPr>
          <w:rFonts w:eastAsia="Times New Roman" w:cs="Times New Roman"/>
          <w:sz w:val="28"/>
          <w:szCs w:val="28"/>
        </w:rPr>
        <w:t> </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i/>
          <w:iCs/>
          <w:sz w:val="28"/>
          <w:szCs w:val="28"/>
        </w:rPr>
        <w:t>Căn cứ Hiến pháp nước Cộng hòa xã hội chủ nghĩa Việt Nam;</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i/>
          <w:iCs/>
          <w:sz w:val="28"/>
          <w:szCs w:val="28"/>
        </w:rPr>
        <w:t>Căn cứ</w:t>
      </w:r>
      <w:hyperlink r:id="rId4" w:anchor="noidung" w:tgtFrame="_blank" w:history="1">
        <w:r w:rsidRPr="001F0FBC">
          <w:rPr>
            <w:rFonts w:eastAsia="Times New Roman" w:cs="Times New Roman"/>
            <w:i/>
            <w:iCs/>
            <w:color w:val="0000FF"/>
            <w:sz w:val="28"/>
            <w:szCs w:val="28"/>
            <w:u w:val="single"/>
          </w:rPr>
          <w:t> Luật Hoạt động giám sát của Quốc hội và Hội đồng nhân dân số 87/2015/QH13</w:t>
        </w:r>
      </w:hyperlink>
      <w:r w:rsidRPr="001F0FBC">
        <w:rPr>
          <w:rFonts w:eastAsia="Times New Roman" w:cs="Times New Roman"/>
          <w:i/>
          <w:iCs/>
          <w:sz w:val="28"/>
          <w:szCs w:val="28"/>
        </w:rPr>
        <w:t>;</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i/>
          <w:iCs/>
          <w:sz w:val="28"/>
          <w:szCs w:val="28"/>
        </w:rPr>
        <w:t>Căn cứ </w:t>
      </w:r>
      <w:hyperlink r:id="rId5" w:anchor="noidung" w:tgtFrame="_blank" w:history="1">
        <w:r w:rsidRPr="001F0FBC">
          <w:rPr>
            <w:rFonts w:eastAsia="Times New Roman" w:cs="Times New Roman"/>
            <w:i/>
            <w:iCs/>
            <w:color w:val="0000FF"/>
            <w:sz w:val="28"/>
            <w:szCs w:val="28"/>
            <w:u w:val="single"/>
          </w:rPr>
          <w:t>Nghị quyết số 35/2017/QH14</w:t>
        </w:r>
      </w:hyperlink>
      <w:r w:rsidRPr="001F0FBC">
        <w:rPr>
          <w:rFonts w:eastAsia="Times New Roman" w:cs="Times New Roman"/>
          <w:i/>
          <w:iCs/>
          <w:sz w:val="28"/>
          <w:szCs w:val="28"/>
        </w:rPr>
        <w:t> ngày 12 tháng 6 năm 2017 của Quốc hội về Chương trình giám sát của Quốc hội năm 2018 và </w:t>
      </w:r>
      <w:hyperlink r:id="rId6" w:anchor="noidung" w:tgtFrame="_blank" w:history="1">
        <w:r w:rsidRPr="001F0FBC">
          <w:rPr>
            <w:rFonts w:eastAsia="Times New Roman" w:cs="Times New Roman"/>
            <w:i/>
            <w:iCs/>
            <w:color w:val="0000FF"/>
            <w:sz w:val="28"/>
            <w:szCs w:val="28"/>
            <w:u w:val="single"/>
          </w:rPr>
          <w:t>Nghị quyết số 45/2017/QH14</w:t>
        </w:r>
      </w:hyperlink>
      <w:r w:rsidRPr="001F0FBC">
        <w:rPr>
          <w:rFonts w:eastAsia="Times New Roman" w:cs="Times New Roman"/>
          <w:i/>
          <w:iCs/>
          <w:sz w:val="28"/>
          <w:szCs w:val="28"/>
        </w:rPr>
        <w:t> ngày 21 tháng 6 năm 2017 của Quốc hội về thành lập Đoàn giám sát việc thực hiện chính sách, pháp luật về quản lý, sử dụng vốn, tài sản nhà nước tại doanh nghiệp và cổ phần hóa doanh nghiệp nhà nước giai đoạn 2011-2016;</w:t>
      </w:r>
    </w:p>
    <w:p w:rsidR="001F0FBC" w:rsidRPr="001F0FBC" w:rsidRDefault="001F0FBC" w:rsidP="001F0FBC">
      <w:pPr>
        <w:spacing w:after="100" w:afterAutospacing="1" w:line="240" w:lineRule="auto"/>
        <w:ind w:firstLine="720"/>
        <w:jc w:val="both"/>
        <w:rPr>
          <w:rFonts w:eastAsia="Times New Roman" w:cs="Times New Roman"/>
          <w:sz w:val="28"/>
          <w:szCs w:val="28"/>
        </w:rPr>
      </w:pPr>
      <w:r w:rsidRPr="001F0FBC">
        <w:rPr>
          <w:rFonts w:eastAsia="Times New Roman" w:cs="Times New Roman"/>
          <w:i/>
          <w:iCs/>
          <w:sz w:val="28"/>
          <w:szCs w:val="28"/>
        </w:rPr>
        <w:t>Trên cơ sở xem xét Báo cáo số 16/BC-ĐGS ngày 25 tháng 5 năm 2018 của Đoàn giám sát của Quốc hội về kết quả giám sát việc thực hiện chính sách, pháp luật về quản lý, sử dụng vốn, tài sản nhà nước tại doanh nghiệp và cổ phần hóa doanh nghiệp nhà nước giai đoạn 2011-2016 và ý kiến của đại biểu Quốc hội;</w:t>
      </w:r>
    </w:p>
    <w:p w:rsidR="001F0FBC" w:rsidRPr="001F0FBC" w:rsidRDefault="001F0FBC" w:rsidP="001F0FBC">
      <w:pPr>
        <w:spacing w:after="100" w:afterAutospacing="1" w:line="240" w:lineRule="auto"/>
        <w:jc w:val="center"/>
        <w:rPr>
          <w:rFonts w:eastAsia="Times New Roman" w:cs="Times New Roman"/>
          <w:sz w:val="28"/>
          <w:szCs w:val="28"/>
        </w:rPr>
      </w:pPr>
      <w:r w:rsidRPr="001F0FBC">
        <w:rPr>
          <w:rFonts w:eastAsia="Times New Roman" w:cs="Times New Roman"/>
          <w:sz w:val="28"/>
          <w:szCs w:val="28"/>
        </w:rPr>
        <w:t> </w:t>
      </w:r>
    </w:p>
    <w:p w:rsidR="001F0FBC" w:rsidRPr="001F0FBC" w:rsidRDefault="001F0FBC" w:rsidP="001F0FBC">
      <w:pPr>
        <w:spacing w:after="100" w:afterAutospacing="1" w:line="240" w:lineRule="auto"/>
        <w:jc w:val="center"/>
        <w:rPr>
          <w:rFonts w:eastAsia="Times New Roman" w:cs="Times New Roman"/>
          <w:sz w:val="28"/>
          <w:szCs w:val="28"/>
        </w:rPr>
      </w:pPr>
      <w:r w:rsidRPr="001F0FBC">
        <w:rPr>
          <w:rFonts w:eastAsia="Times New Roman" w:cs="Times New Roman"/>
          <w:b/>
          <w:bCs/>
          <w:sz w:val="28"/>
          <w:szCs w:val="28"/>
        </w:rPr>
        <w:t>QUYẾT NGHỊ:</w:t>
      </w:r>
    </w:p>
    <w:p w:rsidR="001F0FBC" w:rsidRPr="001F0FBC" w:rsidRDefault="001F0FBC" w:rsidP="001F0FBC">
      <w:pPr>
        <w:spacing w:after="100" w:afterAutospacing="1" w:line="240" w:lineRule="auto"/>
        <w:jc w:val="center"/>
        <w:rPr>
          <w:rFonts w:eastAsia="Times New Roman" w:cs="Times New Roman"/>
          <w:sz w:val="28"/>
          <w:szCs w:val="28"/>
        </w:rPr>
      </w:pPr>
      <w:r w:rsidRPr="001F0FBC">
        <w:rPr>
          <w:rFonts w:eastAsia="Times New Roman" w:cs="Times New Roman"/>
          <w:sz w:val="28"/>
          <w:szCs w:val="28"/>
        </w:rPr>
        <w:t> </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b/>
          <w:bCs/>
          <w:sz w:val="28"/>
          <w:szCs w:val="28"/>
        </w:rPr>
        <w:t>Điều 1. Đánh giá kết quả thực hiện</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Tán thành nội dung Báo cáo kết quả giám sát số 16/BC-ĐGS ngày 25 tháng 5 năm 2018 của Đoàn giám sát của Quốc hội về việc thực hiện chính sách, pháp luật về quản lý, sử dụng vốn, tài sản nhà nước tại doanh nghiệp và cổ phần hóa doanh nghiệp nhà nước giai đoạn 2011 - 2016 </w:t>
      </w:r>
      <w:r w:rsidRPr="001F0FBC">
        <w:rPr>
          <w:rFonts w:eastAsia="Times New Roman" w:cs="Times New Roman"/>
          <w:color w:val="000000"/>
          <w:sz w:val="28"/>
          <w:szCs w:val="28"/>
        </w:rPr>
        <w:t>với những kết quả đạt được, hạn chế và nguyên nhân chủ yếu sau đây:</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shd w:val="clear" w:color="auto" w:fill="FFFFFF"/>
        </w:rPr>
        <w:lastRenderedPageBreak/>
        <w:t>Hệ thống chính sách, pháp luật về quản lý, sử dụng vốn, tài sản nhà nước được ban hành khá </w:t>
      </w:r>
      <w:r w:rsidRPr="001F0FBC">
        <w:rPr>
          <w:rFonts w:eastAsia="Times New Roman" w:cs="Times New Roman"/>
          <w:color w:val="000000"/>
          <w:sz w:val="28"/>
          <w:szCs w:val="28"/>
          <w:shd w:val="clear" w:color="auto" w:fill="FFFFFF"/>
        </w:rPr>
        <w:t>đầy đủ, phạm vi điều chỉnh bao quát hơn so với giai đoạn trước. </w:t>
      </w:r>
      <w:r w:rsidRPr="001F0FBC">
        <w:rPr>
          <w:rFonts w:eastAsia="Times New Roman" w:cs="Times New Roman"/>
          <w:sz w:val="28"/>
          <w:szCs w:val="28"/>
        </w:rPr>
        <w:t>Doanh nghiệp nhà nước đã chuyển dịch theo hướng tập trung hơn vào những ngành, nghề then chốt của nền kinh tế hoặc những lĩnh vực mà doanh nghiệp thuộc các thành phần kinh tế khác không tham gia, tiếp tục giữ vai trò quan trọng đối với sự phát triển kinh tế - xã hội của đất nước, góp phần bảo đảm định hướng xã hội chủ nghĩa. Hiệu quả kinh doanh của doanh nghiệp nhà nước xét trên các tiêu chí như: lợi nhuận, nộp ngân sách nhà nước, bảo toàn và tăng trưởng vốn đạt kết quả tích cực… Kết quả hoạt động sản xuất, kinh doanh của doanh nghiệp có vốn nhà nước có xu hướng tăng trưởng ổn định và phát triển. Quá trình thoái vốn nhà nước tại doanh nghiệp nhìn chung được thực hiện theo kế hoạch đề ra. Tiền lương, thu nhập và quyền lợi của người lao động cơ bản được bảo đảm ổn định.</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Cổ phần hóa doanh nghiệp nhà nước đạt được một số kết quả tích cực. </w:t>
      </w:r>
      <w:r w:rsidRPr="001F0FBC">
        <w:rPr>
          <w:rFonts w:eastAsia="Times New Roman" w:cs="Times New Roman"/>
          <w:color w:val="000000"/>
          <w:sz w:val="28"/>
          <w:szCs w:val="28"/>
          <w:shd w:val="clear" w:color="auto" w:fill="FFFFFF"/>
        </w:rPr>
        <w:t>Nhìn chung doanh nghiệp sau cổ phần hóa hoạt động minh bạch hơn, hầu hết có quy mô, cơ cấu nguồn vốn hợp lý, sản xuất, kinh doanh có hiệu quả hơn, nộp ngân sách và thu nhập của người lao động được nâng lên.</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color w:val="000000"/>
          <w:sz w:val="28"/>
          <w:szCs w:val="28"/>
          <w:shd w:val="clear" w:color="auto" w:fill="FFFFFF"/>
        </w:rPr>
        <w:t>Tuy nhiên, vẫn còn một số hạn chế, vướng mắc, bất cập, vi phạm pháp luật trong kinh doanh, quản trị doanh nghiệp, quản lý tài chính và vi phạm nguyên tắc thị trường</w:t>
      </w:r>
      <w:r w:rsidRPr="001F0FBC">
        <w:rPr>
          <w:rFonts w:eastAsia="Times New Roman" w:cs="Times New Roman"/>
          <w:sz w:val="28"/>
          <w:szCs w:val="28"/>
        </w:rPr>
        <w:t>; chưa hoàn toàn tách bạch giữa chức năng quản lý nhà nước với chức năng đại diện chủ sở hữu, vẫn còn tình trạng chưa bảo đảm công khai, minh bạch trong việc định giá, mua bán tài sản của doanh nghiệp nhà nước. </w:t>
      </w:r>
      <w:r w:rsidRPr="001F0FBC">
        <w:rPr>
          <w:rFonts w:eastAsia="Times New Roman" w:cs="Times New Roman"/>
          <w:color w:val="000000"/>
          <w:sz w:val="28"/>
          <w:szCs w:val="28"/>
          <w:shd w:val="clear" w:color="auto" w:fill="FFFFFF"/>
        </w:rPr>
        <w:t>Hiệu quả hoạt động của doanh nghiệp nhà nước chưa tương xứng với vị trí và nguồn lực được giao quản lý, sử dụng.</w:t>
      </w:r>
      <w:r w:rsidRPr="001F0FBC">
        <w:rPr>
          <w:rFonts w:eastAsia="Times New Roman" w:cs="Times New Roman"/>
          <w:sz w:val="28"/>
          <w:szCs w:val="28"/>
        </w:rPr>
        <w:t> </w:t>
      </w:r>
      <w:r w:rsidRPr="001F0FBC">
        <w:rPr>
          <w:rFonts w:eastAsia="Times New Roman" w:cs="Times New Roman"/>
          <w:color w:val="000000"/>
          <w:sz w:val="28"/>
          <w:szCs w:val="28"/>
          <w:shd w:val="clear" w:color="auto" w:fill="FFFFFF"/>
        </w:rPr>
        <w:t>Một số dự án đầu tư quy mô lớn nhưng triển khai chậm, không hiệu quả, thất thoát, lãng phí; hoạt động đầu tư ra ngoài ngành, nghề kinh doanh chính, đầu tư ra nước ngoài nhìn chung hiệu quả thấp. </w:t>
      </w:r>
      <w:r w:rsidRPr="001F0FBC">
        <w:rPr>
          <w:rFonts w:eastAsia="Times New Roman" w:cs="Times New Roman"/>
          <w:sz w:val="28"/>
          <w:szCs w:val="28"/>
        </w:rPr>
        <w:t>Tỷ lệ vốn Nhà nước nắm giữ ở các công ty cổ phần còn cao. </w:t>
      </w:r>
      <w:r w:rsidRPr="001F0FBC">
        <w:rPr>
          <w:rFonts w:eastAsia="Times New Roman" w:cs="Times New Roman"/>
          <w:color w:val="000000"/>
          <w:sz w:val="28"/>
          <w:szCs w:val="28"/>
          <w:shd w:val="clear" w:color="auto" w:fill="FFFFFF"/>
        </w:rPr>
        <w:t>Mô hình quản trị doanh nghiệp chậm được đổi mới. </w:t>
      </w:r>
      <w:r w:rsidRPr="001F0FBC">
        <w:rPr>
          <w:rFonts w:eastAsia="Times New Roman" w:cs="Times New Roman"/>
          <w:sz w:val="28"/>
          <w:szCs w:val="28"/>
        </w:rPr>
        <w:t>Việc thu hút nhà đầu tư chiến lược còn hạn chế. Công tác quản lý tài chính trong quá trình cổ phần hóa, xác định giá trị doanh nghiệp vẫn còn bất cập và có một số vi phạm, nhất là xác định giá trị quyền sử dụng đất, giá trị thương hiệu của doanh nghiệp nhà nước. Quản lý sử dụng Quỹ Hỗ trợ sắp xếp doanh nghiệp tại các tập đoàn, tổng công ty còn tồn tại, hạn chế.</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Những hạn chế, vướng mắc, bất cập nêu trên do nhiều nguyên nhân, trong đó nguyên nhân chủ quan là chủ yếu. Hệ thống văn bản pháp luật về quản lý, sử dụng vốn, tài sản nhà nước tại doanh nghiệp và cổ phần hóa doanh nghiệp nhà nước vẫn còn chồng chéo, thiếu thống nhất với một số luật khác. </w:t>
      </w:r>
      <w:r w:rsidRPr="001F0FBC">
        <w:rPr>
          <w:rFonts w:eastAsia="Times New Roman" w:cs="Times New Roman"/>
          <w:color w:val="000000"/>
          <w:sz w:val="28"/>
          <w:szCs w:val="28"/>
          <w:shd w:val="clear" w:color="auto" w:fill="FFFFFF"/>
        </w:rPr>
        <w:t>Việc xử lý, cơ cấu lại một số tập đoàn, tổng công ty, dự án đầu tư thua lỗ và </w:t>
      </w:r>
      <w:r w:rsidRPr="001F0FBC">
        <w:rPr>
          <w:rFonts w:eastAsia="Times New Roman" w:cs="Times New Roman"/>
          <w:sz w:val="28"/>
          <w:szCs w:val="28"/>
        </w:rPr>
        <w:t>thu hồi vốn nhà nước từ các dự án đầu tư không hiệu quả còn chậm. </w:t>
      </w:r>
      <w:r w:rsidRPr="001F0FBC">
        <w:rPr>
          <w:rFonts w:eastAsia="Times New Roman" w:cs="Times New Roman"/>
          <w:color w:val="000000"/>
          <w:sz w:val="28"/>
          <w:szCs w:val="28"/>
          <w:shd w:val="clear" w:color="auto" w:fill="FFFFFF"/>
        </w:rPr>
        <w:t>Hoạt động kiểm tra, giám sát của đại diện chủ sở hữu phần vốn nhà nước tại doanh nghiệp, công tác</w:t>
      </w:r>
      <w:r w:rsidRPr="001F0FBC">
        <w:rPr>
          <w:rFonts w:eastAsia="Times New Roman" w:cs="Times New Roman"/>
          <w:sz w:val="28"/>
          <w:szCs w:val="28"/>
        </w:rPr>
        <w:t>thanh tra, kiểm tra, kiểm soát nội bộ </w:t>
      </w:r>
      <w:r w:rsidRPr="001F0FBC">
        <w:rPr>
          <w:rFonts w:eastAsia="Times New Roman" w:cs="Times New Roman"/>
          <w:color w:val="000000"/>
          <w:sz w:val="28"/>
          <w:szCs w:val="28"/>
          <w:shd w:val="clear" w:color="auto" w:fill="FFFFFF"/>
        </w:rPr>
        <w:t>chưa thường xuyên, kém hiệu quả. </w:t>
      </w:r>
      <w:r w:rsidRPr="001F0FBC">
        <w:rPr>
          <w:rFonts w:eastAsia="Times New Roman" w:cs="Times New Roman"/>
          <w:sz w:val="28"/>
          <w:szCs w:val="28"/>
        </w:rPr>
        <w:t>Công tác tổ chức cán bộ chưa tốt, năng lực quản lý còn bất cập, trách nhiệm chưa rõ, một số trường hợp cố ý vi phạm quy định của pháp luật gây lãng phí và hậu quả nghiêm trọng.</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 xml:space="preserve">Mặc dù Chính phủ, các Bộ, ngành, địa phương đã có nhiều cố gắng xây dựng cơ sở pháp lý, tăng cường công tác quản lý doanh nghiệp nhà nước, vốn nhà nước tại doanh nghiệp, thực hiện chủ trương sắp xếp, đổi mới doanh nghiệp nhà nước </w:t>
      </w:r>
      <w:r w:rsidRPr="001F0FBC">
        <w:rPr>
          <w:rFonts w:eastAsia="Times New Roman" w:cs="Times New Roman"/>
          <w:sz w:val="28"/>
          <w:szCs w:val="28"/>
        </w:rPr>
        <w:lastRenderedPageBreak/>
        <w:t>nhưng hiệu quả đạt được chưa cao; </w:t>
      </w:r>
      <w:r w:rsidRPr="001F0FBC">
        <w:rPr>
          <w:rFonts w:eastAsia="Times New Roman" w:cs="Times New Roman"/>
          <w:color w:val="000000"/>
          <w:sz w:val="28"/>
          <w:szCs w:val="28"/>
          <w:shd w:val="clear" w:color="auto" w:fill="FFFFFF"/>
        </w:rPr>
        <w:t>còn một số Bộ chưa làm tốt trách nhiệm được giao,</w:t>
      </w:r>
      <w:r w:rsidRPr="001F0FBC">
        <w:rPr>
          <w:rFonts w:eastAsia="Times New Roman" w:cs="Times New Roman"/>
          <w:sz w:val="28"/>
          <w:szCs w:val="28"/>
        </w:rPr>
        <w:t>chưa kịp thời đề xuất sửa đổi, bổ sung quy định của pháp luật liên quan, còn để xảy ra </w:t>
      </w:r>
      <w:r w:rsidRPr="001F0FBC">
        <w:rPr>
          <w:rFonts w:eastAsia="Times New Roman" w:cs="Times New Roman"/>
          <w:color w:val="000000"/>
          <w:sz w:val="28"/>
          <w:szCs w:val="28"/>
          <w:shd w:val="clear" w:color="auto" w:fill="FFFFFF"/>
        </w:rPr>
        <w:t>một số vụ việc sai phạm của các doanh nghiệp nhà nước thuộc thẩm quyền quản lý</w:t>
      </w:r>
      <w:r w:rsidRPr="001F0FBC">
        <w:rPr>
          <w:rFonts w:eastAsia="Times New Roman" w:cs="Times New Roman"/>
          <w:sz w:val="28"/>
          <w:szCs w:val="28"/>
        </w:rPr>
        <w:t> nhưng chậm phát hiện và ngăn chặn, gây hậu quả nghiêm trọng về kinh tế. Sự phối hợp, hỗ trợ giữa các Bộ, ngành, địa phương còn có lúc chưa chặt chẽ, kịp thời. Chính quyền ở một số địa phương còn buông lỏng quản lý đất đai; quản lý chuyển đổi mục đích và thực hiện nghĩa vụ tài chính về sử dụng đất của doanh nghiệp sau cổ phần hóa còn bất cập, thiếu minh bạch. Nhiều doanh nghiệp nhà nước chưa tuân thủ pháp luật; chưa xây dựng được hệ thống kiểm tra, kiểm soát nội bộ hiệu quả để kịp thời giám sát và cảnh báo các sai phạm tại doanh nghiệp.</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b/>
          <w:bCs/>
          <w:sz w:val="28"/>
          <w:szCs w:val="28"/>
        </w:rPr>
        <w:t>Điều 2. Nhiệm vụ và giải pháp chủ yếu</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Để khắc phục những hạn chế, vướng mắc, bất cập, thực hiện có hiệu lực, hiệu quả chính sách, pháp luật về quản lý, sử dụng vốn, tài sản nhà nước tại doanh nghiệp và cổ phần hóa doanh nghiệp nhà nước, giao Chính phủ và Kiểm toán nhà nước tập trung thực hiện các nhiệm vụ, giải pháp chủ yếu sau đây:</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1. Đối với Chính phủ:</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a) Khẩn trương tổng kết, hoàn thiện chính sách, pháp luật về quản lý, sử dụng vốn, tài sản nhà nước tại doanh nghiệp và cổ phần hoá doanh nghiệp nhà nước; sớm trình Quốc hội sửa đổi, bổ sung các nội dung còn vướng mắc của Luật Quản lý, sử dụng vốn nhà nước đầu tư vào sản xuất, kinh doanh tại doanh nghiệp, Luật Doanh nghiệp, Luật Đấu thầu, Luật Xây dựng, Luật Đầu tư, Luật Đất đai và các văn bản khác có liên quan.</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b) Ban hành văn bản phân công, phân cấp việc thực hiện các quyền, trách nhiệm, nghĩa vụ của chủ sở hữu nhà nước đối với doanh nghiệp nhà nước và vốn nhà nước đầu tư vào doanh nghiệp; văn bản quy định về cơ cấu tổ chức, chức năng, nhiệm vụ, quyền hạn của Ủy ban Quản lý vốn nhà nước tại doanh nghiệp. Tổng kết, đánh giá mô hình Tổng công ty Đầu tư và Kinh doanh vốn nhà nước (SCIC) và mối quan hệ với Ủy ban Quản lý vốn nhà nước tại doanh nghiệp.</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c) Ban hành văn bản quy định về bộ tiêu chí đánh giá hiệu quả hoạt động sản xuất, kinh doanh đối với doanh nghiệp nhà nước theo từng loại hình, lĩnh vực, địa bàn hoạt động đặc thù của doanh nghiệp (chậm nhất vào tháng 5 năm 2019).</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 xml:space="preserve">d) Chỉ đạo các Bộ, cơ quan ngang Bộ, cơ quan thuộc Chính phủ, Ủy ban nhân dân cấp tỉnh thực hiện nghiêm các quy định của pháp luật nhằm nâng cao hiệu lực, hiệu quả quản lý nhà nước, khắc phục những hạn chế, yếu kém trong giai đoạn vừa qua; xử lý kịp thời các đề xuất, kiến nghị của doanh nghiệp. Khẩn trương bàn giao phần vốn nhà nước hiện đang quản lý về cơ quan có thẩm quyền được giao quản lý vốn, tài sản nhà nước tại doanh nghiệp. Đến năm 2020, xử lý dứt điểm các doanh nghiệp vi phạm pháp luật, để thất thoát, lãng phí vốn, tài sản nhà nước, các dự án đầu tư chậm tiến độ, kém hiệu quả, thua lỗ kéo dài; không sử dụng ngân sách nhà nước để xử lý thua lỗ của doanh nghiệp. Kiểm điểm và xử lý trách nhiệm theo quy định của pháp luật đối với tập thể, cá nhân, đặc biệt là người đứng đầu trong việc để xảy ra các vi phạm về quản lý sử dụng vốn, tài sản nhà nước tại doanh nghiệp </w:t>
      </w:r>
      <w:r w:rsidRPr="001F0FBC">
        <w:rPr>
          <w:rFonts w:eastAsia="Times New Roman" w:cs="Times New Roman"/>
          <w:sz w:val="28"/>
          <w:szCs w:val="28"/>
        </w:rPr>
        <w:lastRenderedPageBreak/>
        <w:t>và cổ phần hóa doanh nghiệp nhà nước, báo cáo Quốc hội tại kỳ họp thứ 7 (tháng 5 năm 2019). Gắn kết quả của việc thực hiện sắp xếp, đổi mới và nâng cao hiệu quả doanh nghiệp nhà nước với việc đánh giá trách nhiệm của người đứng đầu; tiếp tục đổi mới công tác bố trí bổ nhiệm, miễn nhiệm đối với người đứng đầu doanh nghiệp nhà nước.</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đ) Quản lý, giám sát chặt chẽ việc huy động, sử dụng vốn của doanh nghiệp nhà nước, nhất là việc vay nợ nước ngoài, các dự án đầu tư trong nước và ra nước ngoài, nguồn vốn mua, bán, sáp nhập doanh nghiệp; hạn chế tối đa cấp bảo lãnh của Chính phủ đối với doanh nghiệp nhà nước.</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e) Tiếp tục đổi mới cơ chế để doanh nghiệp thực sự chủ động trong trả tiền lương, tiền thưởng dựa vào năng suất lao động, hiệu quả sản xuất, kinh doanh; bảo đảm hài hoà lợi ích của Nhà nước, doanh nghiệp, người lao động; thu hút lao động có trình độ cao vào làm việc.</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g) Tiếp tục rà soát, tách bạch giữa những lĩnh vực then chốt của nền kinh tế hoặc lĩnh vực công ích mà Nhà nước cần nắm quyền chi phối với những lĩnh vực nên huy động vốn đầu tư từ xã hội; xác định tỷ lệ sở hữu nhà nước tại doanh nghiệp ở mức hợp lý nhằm thu hút nhà đầu tư bên ngoài và thay đổi mô hình quản trị doanh nghiệp một cách thực chất. Tách bạch giữa hoạt động sản xuất, cung ứng sản phẩm, dịch vụ công ích, an sinh xã hội với hoạt động sản xuất, kinh doanh vì lợi nhuận của doanh nghiệp. Tăng cường quản lý các doanh nghiệp quốc phòng, an ninh, các doanh nghiệp trực thuộc các tổ chức chính trị - xã hội. Đánh giá việc cổ phần hoá, thoái vốn, chuyển đổi mô hình tại doanh nghiệp, cung cấp sản phẩm, dịch vụ công ích liên quan đến các chính sách phát triển kinh tế - xã hội, an sinh xã hội, trường hợp vẫn cần phải thoái vốn, cổ phần hoá thì phải có chính sách phù hợp để bảo đảm phát triển kinh tế, an sinh xã hội tại vùng nông thôn, địa bàn có điều kiện khó khăn, địa bàn chiến lược biên giới hải đảo.</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h) Tổng kết, đánh giá và tập trung hoàn thành mục tiêu cổ phần hóa và thoái vốn nhà nước theo đúng lộ trình và quy định của pháp luật, bảo đảm các nguyên tắc và cơ chế thị trường; minh bạch, công khai thông tin; xem xét cơ chế, chính sách nhằm tháo gỡ khó khăn trong xử lý các vấn đề về tài chính, đất đai, lao động, chính sách khoa học, công nghệ... nhằm nâng cao chất lượng, hiệu quả hoạt động của một số doanh nghiệp đã cơ cấu lại nhưng tình hình sản xuất, kinh doanh còn chưa khả quan; áp dụng biện pháp giải thể, phá sản theo quy định của pháp luật, nhất là doanh nghiệp nhà nước lâm vào tình trạng giải thể, phá sản mà không có phương án cơ cấu lại khả thi.</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 xml:space="preserve">i) Rà soát diện tích đất của các doanh nghiệp nhà nước, hoàn thành việc cấp Giấy Chứng nhận quyền sử dụng đất. Thực hiện việc xác định giá đất cụ thể phù hợp với quy định của Luật Đất đai để xác định đúng giá trị quyền sử dụng đất vào giá trị doanh nghiệp cổ phần hóa, tính đúng, tính đủ tiền thuê đất của doanh nghiệp, tránh thất thu cho ngân sách nhà nước. Quản lý chặt chẽ, tăng cường giám sát, thanh tra, kiểm tra việc sử dụng đất của doanh nghiệp sau cổ phần hóa, bảo đảm tuân thủ phương án sử dụng đất đã được phê duyệt trong phương án cổ phần hóa doanh nghiệp; trường hợp được cấp có thẩm quyền cho phép chuyển mục đích sử dụng </w:t>
      </w:r>
      <w:r w:rsidRPr="001F0FBC">
        <w:rPr>
          <w:rFonts w:eastAsia="Times New Roman" w:cs="Times New Roman"/>
          <w:sz w:val="28"/>
          <w:szCs w:val="28"/>
        </w:rPr>
        <w:lastRenderedPageBreak/>
        <w:t>đất khác với phương án đã được phê duyệt thì tổ chức thu hồi và đấu giá công khai theo quy định của pháp luật; nghiêm túc thực hiện quy định của pháp luật đất đai về thu hồi đất đối với các trường hợp vi phạm pháp luật về đất đai. Tiến hành thanh tra việc chuyển đổi mục đích sử dụng đất từ đất sản xuất của doanh nghiệp nhà nước, doanh nghiệp cổ phần hoá sang kinh doanh đất, xây dựng nhà ở giai đoạn 2011- 2017, báo cáo Quốc hội tại kỳ họp thứ 8 (tháng 10 năm 2019).</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k) Tăng cường minh bạch thông tin đối với tất cả các doanh nghiệp nhà nước theo các tiêu chuẩn áp dụng đối với công ty đại chúng; nghiên cứu xây dựng cơ sở dữ liệu quốc gia về doanh nghiệp nhà nước.</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l) Tăng cường kiểm tra, thanh tra, giám sát để kịp thời phát hiện vi phạm và có biện pháp xử lý, khắc phục; thực hiện nghiêm, dứt điểm các kết luận của các cơ quan thanh tra, kiểm toán, có chế tài xử lý đối với các trường hợp không thực hiện, chậm thực hiện kết luận của các cơ quan thanh tra, kiểm toán. Tăng cường thực hiện công tác thanh tra, kiểm tra, kiểm toán, giám sát việc thực hiện chính sách, pháp luật về cổ phần hóa doanh nghiệp nhà nước, không để xảy ra tiêu cực, thất thoát vốn, tài sản nhà nước.</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m) Đánh giá việc quản lý và sử dụng nguồn thu từ thoái vốn nhà nước tại doanh nghiệp và hiệu quả hoạt động của Quỹ Hỗ trợ sắp xếp và phát triển doanh nghiệp, có biện pháp nâng cao chất lượng quản lý và sử dụng Quỹ; báo cáo Quốc hội việc quản lý, sử dụng Quỹ tại kỳ họp Quốc hội tháng 10 hằng năm.</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n) Nghiên cứu trình Quốc hội xem xét ban hành Nghị quyết về quản lý và sử dụng nguồn thu từ cổ phần hóa, thoái vốn nhà nước tại doanh nghiệp theo tinh thần khoản thu này phải nộp đầy đủ, kịp thời và phải được đưa vào dự toán ngân sách nhà nước hằng năm, kế hoạch tài chính, kế hoạch đầu tư công trung hạn; chỉ được bố trí dự toán chi cho đầu tư phát triển, tạo nguồn lực lâu dài; các trường hợp thu vượt, đột xuất cần báo cáo Quốc hội, Ủy ban Thường vụ Quốc hội xem xét, quyết định việc quản lý và sử dụng nguồn thu này theo quy định của pháp luật.</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2. Đối với Kiểm toán Nhà nước:</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Thực hiện kiểm toán Quỹ Hỗ trợ sắp xếp và phát triển doanh nghiệp và việc sử dụng nguồn thu từ đất của các doanh nghiệp nhà nước đã cổ phần hóa giai đoạn 2011-2017, báo cáo Quốc hội kết quả tại kỳ họp thứ 7 (tháng 5 năm 2019).</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b/>
          <w:bCs/>
          <w:sz w:val="28"/>
          <w:szCs w:val="28"/>
        </w:rPr>
        <w:t>Điều 3. Tổ chức, kiểm tra và giám sát thực hiện</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1. Chính phủ, Thủ tướng Chính phủ, các Bộ, cơ quan ngang Bộ, cơ quan thuộc Chính phủ, Ủy ban nhân dân các địa phương, doanh nghiệp nhà nước trong phạm vi nhiệm vụ, quyền hạn của mình, chỉ đạo tổ chức, kiểm tra việc thực hiện Nghị quyết này.</w:t>
      </w:r>
    </w:p>
    <w:p w:rsidR="001F0FBC" w:rsidRPr="001F0FBC" w:rsidRDefault="001F0FBC" w:rsidP="001F0FBC">
      <w:pPr>
        <w:spacing w:after="120" w:line="240" w:lineRule="auto"/>
        <w:ind w:firstLine="720"/>
        <w:jc w:val="both"/>
        <w:rPr>
          <w:rFonts w:eastAsia="Times New Roman" w:cs="Times New Roman"/>
          <w:sz w:val="28"/>
          <w:szCs w:val="28"/>
        </w:rPr>
      </w:pPr>
      <w:r w:rsidRPr="001F0FBC">
        <w:rPr>
          <w:rFonts w:eastAsia="Times New Roman" w:cs="Times New Roman"/>
          <w:sz w:val="28"/>
          <w:szCs w:val="28"/>
        </w:rPr>
        <w:t>2. Ủy ban Thường vụ Quốc hội, Hội đồng Dân tộc, các Ủy ban của Quốc hội, các Đoàn đại biểu Quốc hội, đại biểu Quốc hội, Hội đồng nhân dân các cấp, trong phạm vi nhiệm vụ, quyền hạn của mình, giám sát việc thực hiện Nghị quyết này.</w:t>
      </w:r>
    </w:p>
    <w:p w:rsidR="001F0FBC" w:rsidRPr="001F0FBC" w:rsidRDefault="001F0FBC" w:rsidP="001F0FBC">
      <w:pPr>
        <w:spacing w:after="100" w:afterAutospacing="1" w:line="240" w:lineRule="auto"/>
        <w:ind w:firstLine="720"/>
        <w:jc w:val="both"/>
        <w:rPr>
          <w:rFonts w:eastAsia="Times New Roman" w:cs="Times New Roman"/>
          <w:sz w:val="28"/>
          <w:szCs w:val="28"/>
        </w:rPr>
      </w:pPr>
      <w:r w:rsidRPr="001F0FBC">
        <w:rPr>
          <w:rFonts w:eastAsia="Times New Roman" w:cs="Times New Roman"/>
          <w:i/>
          <w:iCs/>
          <w:sz w:val="28"/>
          <w:szCs w:val="28"/>
        </w:rPr>
        <w:t>Nghị quyết này được Quốc hội nước Cộng hòa xã hội chủ nghĩa Việt Nam khóa XIV, kỳ họp thứ 5 thông qua ngày 15 tháng 6 năm 2018.</w:t>
      </w:r>
    </w:p>
    <w:p w:rsidR="001F0FBC" w:rsidRPr="001F0FBC" w:rsidRDefault="001F0FBC" w:rsidP="001F0FBC">
      <w:pPr>
        <w:spacing w:after="100" w:afterAutospacing="1" w:line="240" w:lineRule="auto"/>
        <w:rPr>
          <w:rFonts w:eastAsia="Times New Roman" w:cs="Times New Roman"/>
          <w:sz w:val="28"/>
          <w:szCs w:val="28"/>
        </w:rPr>
      </w:pPr>
      <w:r w:rsidRPr="001F0FBC">
        <w:rPr>
          <w:rFonts w:eastAsia="Times New Roman" w:cs="Times New Roman"/>
          <w:sz w:val="28"/>
          <w:szCs w:val="28"/>
        </w:rPr>
        <w:lastRenderedPageBreak/>
        <w:t> </w:t>
      </w:r>
    </w:p>
    <w:tbl>
      <w:tblPr>
        <w:tblW w:w="12075" w:type="dxa"/>
        <w:tblInd w:w="108" w:type="dxa"/>
        <w:tblCellMar>
          <w:left w:w="0" w:type="dxa"/>
          <w:right w:w="0" w:type="dxa"/>
        </w:tblCellMar>
        <w:tblLook w:val="04A0" w:firstRow="1" w:lastRow="0" w:firstColumn="1" w:lastColumn="0" w:noHBand="0" w:noVBand="1"/>
      </w:tblPr>
      <w:tblGrid>
        <w:gridCol w:w="5109"/>
        <w:gridCol w:w="6966"/>
      </w:tblGrid>
      <w:tr w:rsidR="001F0FBC" w:rsidRPr="001F0FBC" w:rsidTr="001F0FBC">
        <w:tc>
          <w:tcPr>
            <w:tcW w:w="3960" w:type="dxa"/>
            <w:tcBorders>
              <w:top w:val="nil"/>
              <w:left w:val="nil"/>
              <w:bottom w:val="nil"/>
              <w:right w:val="nil"/>
            </w:tcBorders>
            <w:tcMar>
              <w:top w:w="0" w:type="dxa"/>
              <w:left w:w="108" w:type="dxa"/>
              <w:bottom w:w="0" w:type="dxa"/>
              <w:right w:w="108" w:type="dxa"/>
            </w:tcMar>
            <w:hideMark/>
          </w:tcPr>
          <w:p w:rsidR="001F0FBC" w:rsidRPr="001F0FBC" w:rsidRDefault="001F0FBC" w:rsidP="001F0FBC">
            <w:pPr>
              <w:spacing w:after="0" w:line="330" w:lineRule="atLeast"/>
              <w:rPr>
                <w:rFonts w:eastAsia="Times New Roman" w:cs="Times New Roman"/>
                <w:color w:val="222222"/>
                <w:sz w:val="28"/>
                <w:szCs w:val="28"/>
              </w:rPr>
            </w:pPr>
            <w:r w:rsidRPr="001F0FBC">
              <w:rPr>
                <w:rFonts w:eastAsia="Times New Roman" w:cs="Times New Roman"/>
                <w:color w:val="222222"/>
                <w:sz w:val="28"/>
                <w:szCs w:val="28"/>
              </w:rPr>
              <w:t> </w:t>
            </w:r>
          </w:p>
        </w:tc>
        <w:tc>
          <w:tcPr>
            <w:tcW w:w="5400" w:type="dxa"/>
            <w:tcBorders>
              <w:top w:val="nil"/>
              <w:left w:val="nil"/>
              <w:bottom w:val="nil"/>
              <w:right w:val="nil"/>
            </w:tcBorders>
            <w:tcMar>
              <w:top w:w="0" w:type="dxa"/>
              <w:left w:w="108" w:type="dxa"/>
              <w:bottom w:w="0" w:type="dxa"/>
              <w:right w:w="108" w:type="dxa"/>
            </w:tcMar>
            <w:hideMark/>
          </w:tcPr>
          <w:p w:rsidR="001F0FBC" w:rsidRPr="001F0FBC" w:rsidRDefault="001F0FBC" w:rsidP="001F0FBC">
            <w:pPr>
              <w:spacing w:after="0" w:line="330" w:lineRule="atLeast"/>
              <w:jc w:val="center"/>
              <w:rPr>
                <w:rFonts w:eastAsia="Times New Roman" w:cs="Times New Roman"/>
                <w:color w:val="222222"/>
                <w:sz w:val="28"/>
                <w:szCs w:val="28"/>
              </w:rPr>
            </w:pPr>
            <w:r w:rsidRPr="001F0FBC">
              <w:rPr>
                <w:rFonts w:eastAsia="Times New Roman" w:cs="Times New Roman"/>
                <w:b/>
                <w:bCs/>
                <w:color w:val="222222"/>
                <w:sz w:val="28"/>
                <w:szCs w:val="28"/>
              </w:rPr>
              <w:t>CHỦ TỊCH QUỐC HỘI</w:t>
            </w:r>
            <w:r w:rsidRPr="001F0FBC">
              <w:rPr>
                <w:rFonts w:eastAsia="Times New Roman" w:cs="Times New Roman"/>
                <w:color w:val="222222"/>
                <w:sz w:val="28"/>
                <w:szCs w:val="28"/>
              </w:rPr>
              <w:br/>
            </w:r>
            <w:r w:rsidRPr="001F0FBC">
              <w:rPr>
                <w:rFonts w:eastAsia="Times New Roman" w:cs="Times New Roman"/>
                <w:color w:val="222222"/>
                <w:sz w:val="28"/>
                <w:szCs w:val="28"/>
              </w:rPr>
              <w:br/>
            </w:r>
            <w:r w:rsidRPr="001F0FBC">
              <w:rPr>
                <w:rFonts w:eastAsia="Times New Roman" w:cs="Times New Roman"/>
                <w:color w:val="222222"/>
                <w:sz w:val="28"/>
                <w:szCs w:val="28"/>
              </w:rPr>
              <w:br/>
            </w:r>
            <w:r w:rsidRPr="001F0FBC">
              <w:rPr>
                <w:rFonts w:eastAsia="Times New Roman" w:cs="Times New Roman"/>
                <w:color w:val="222222"/>
                <w:sz w:val="28"/>
                <w:szCs w:val="28"/>
              </w:rPr>
              <w:br/>
            </w:r>
            <w:r w:rsidRPr="001F0FBC">
              <w:rPr>
                <w:rFonts w:eastAsia="Times New Roman" w:cs="Times New Roman"/>
                <w:color w:val="222222"/>
                <w:sz w:val="28"/>
                <w:szCs w:val="28"/>
              </w:rPr>
              <w:br/>
            </w:r>
            <w:r w:rsidRPr="001F0FBC">
              <w:rPr>
                <w:rFonts w:eastAsia="Times New Roman" w:cs="Times New Roman"/>
                <w:b/>
                <w:bCs/>
                <w:color w:val="222222"/>
                <w:sz w:val="28"/>
                <w:szCs w:val="28"/>
              </w:rPr>
              <w:t>Nguyễn Thị Kim Ngân</w:t>
            </w:r>
          </w:p>
        </w:tc>
      </w:tr>
    </w:tbl>
    <w:p w:rsidR="001F0FBC" w:rsidRPr="001F0FBC" w:rsidRDefault="001F0FBC" w:rsidP="001F0FBC">
      <w:pPr>
        <w:spacing w:after="100" w:afterAutospacing="1" w:line="240" w:lineRule="auto"/>
        <w:rPr>
          <w:rFonts w:eastAsia="Times New Roman" w:cs="Times New Roman"/>
          <w:sz w:val="28"/>
          <w:szCs w:val="28"/>
        </w:rPr>
      </w:pPr>
      <w:r w:rsidRPr="001F0FBC">
        <w:rPr>
          <w:rFonts w:eastAsia="Times New Roman" w:cs="Times New Roman"/>
          <w:sz w:val="28"/>
          <w:szCs w:val="28"/>
        </w:rPr>
        <w:t> </w:t>
      </w:r>
    </w:p>
    <w:p w:rsidR="00FF0599" w:rsidRPr="001F0FBC" w:rsidRDefault="00FF0599">
      <w:pPr>
        <w:rPr>
          <w:rFonts w:cs="Times New Roman"/>
          <w:sz w:val="28"/>
          <w:szCs w:val="28"/>
        </w:rPr>
      </w:pPr>
    </w:p>
    <w:sectPr w:rsidR="00FF0599" w:rsidRPr="001F0FBC" w:rsidSect="001F0FBC">
      <w:pgSz w:w="11909" w:h="16834" w:code="9"/>
      <w:pgMar w:top="1134" w:right="964"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BC"/>
    <w:rsid w:val="001F0FBC"/>
    <w:rsid w:val="00B91BF2"/>
    <w:rsid w:val="00FF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5B5AA-2AF4-41AE-A40A-6D500271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FB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F0FBC"/>
    <w:rPr>
      <w:b/>
      <w:bCs/>
    </w:rPr>
  </w:style>
  <w:style w:type="character" w:styleId="Emphasis">
    <w:name w:val="Emphasis"/>
    <w:basedOn w:val="DefaultParagraphFont"/>
    <w:uiPriority w:val="20"/>
    <w:qFormat/>
    <w:rsid w:val="001F0FBC"/>
    <w:rPr>
      <w:i/>
      <w:iCs/>
    </w:rPr>
  </w:style>
  <w:style w:type="character" w:styleId="Hyperlink">
    <w:name w:val="Hyperlink"/>
    <w:basedOn w:val="DefaultParagraphFont"/>
    <w:uiPriority w:val="99"/>
    <w:semiHidden/>
    <w:unhideWhenUsed/>
    <w:rsid w:val="001F0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tai-chinh/nghi-quyet-45-2017-qh14-quoc-hoi-115405-d1.html" TargetMode="External"/><Relationship Id="rId5" Type="http://schemas.openxmlformats.org/officeDocument/2006/relationships/hyperlink" Target="https://luatvietnam.vn/hanh-chinh/nghi-quyet-35-2017-qh14-quoc-hoi-115184-d1.html" TargetMode="External"/><Relationship Id="rId4" Type="http://schemas.openxmlformats.org/officeDocument/2006/relationships/hyperlink" Target="https://luatvietnam.vn/co-cau-to-chuc/luat-87-2015-qh13-quoc-hoi-101337-d1.html" TargetMode="Externa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2190</Words>
  <Characters>12483</Characters>
  <Application>Microsoft Office Word</Application>
  <DocSecurity>0</DocSecurity>
  <Lines>104</Lines>
  <Paragraphs>29</Paragraphs>
  <ScaleCrop>false</ScaleCrop>
  <Company>Microsoft</Company>
  <LinksUpToDate>false</LinksUpToDate>
  <CharactersWithSpaces>14644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2018-08-31T09:17:00Z</dcterms:created>
  <dcterms:modified xsi:type="dcterms:W3CDTF">2018-08-31T09:19:00Z</dcterms:modified>
</cp:coreProperties>
</file>